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C0ABD" w:rsidRDefault="00277FA0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313</wp:posOffset>
                </wp:positionV>
                <wp:extent cx="676275" cy="611505"/>
                <wp:effectExtent l="0" t="0" r="9525" b="0"/>
                <wp:wrapTopAndBottom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76275" cy="611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margin;mso-position-horizontal:center;mso-position-vertical-relative:text;margin-top:0.02pt;mso-position-vertical:absolute;width:53.25pt;height:48.15pt;mso-wrap-distance-left:9.00pt;mso-wrap-distance-top:0.00pt;mso-wrap-distance-right:9.00pt;mso-wrap-distance-bottom:0.00pt;" stroked="f">
                <v:path textboxrect="0,0,0,0"/>
                <w10:wrap type="topAndBottom"/>
                <v:imagedata r:id="rId12" o:title=""/>
              </v:shape>
            </w:pict>
          </mc:Fallback>
        </mc:AlternateContent>
      </w:r>
    </w:p>
    <w:p w:rsidR="001C0ABD" w:rsidRDefault="001C0ABD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C0ABD" w:rsidRDefault="00277FA0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СЛУЖБА ЖИЛИЩНОГО И СТРОИТЕЛЬНОГО НАДЗОРА</w:t>
      </w:r>
    </w:p>
    <w:p w:rsidR="001C0ABD" w:rsidRDefault="00277FA0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ХАНТЫ-МАНСИЙСКОГО АВТОНОМНОГО ОКРУГА – ЮГРЫ</w:t>
      </w:r>
    </w:p>
    <w:p w:rsidR="001C0ABD" w:rsidRDefault="00277FA0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(ЖИЛСТРОЙНАДЗОР ЮГРЫ)</w:t>
      </w:r>
    </w:p>
    <w:p w:rsidR="001C0ABD" w:rsidRDefault="001C0ABD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C0ABD" w:rsidRDefault="001C0AB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C0ABD" w:rsidRDefault="00277FA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ПРИКАЗ</w:t>
      </w:r>
    </w:p>
    <w:p w:rsidR="001C0ABD" w:rsidRDefault="00277FA0">
      <w:pPr>
        <w:pStyle w:val="ConsPlusNonformat"/>
        <w:widowControl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07.12.2022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  <w:t xml:space="preserve">                                № 101-О</w:t>
      </w:r>
    </w:p>
    <w:p w:rsidR="001C0ABD" w:rsidRDefault="001C0ABD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1C0ABD" w:rsidRDefault="00277FA0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Ханты-Мансийск</w:t>
      </w:r>
    </w:p>
    <w:p w:rsidR="001C0ABD" w:rsidRDefault="001C0ABD">
      <w:pPr>
        <w:spacing w:before="11" w:after="0" w:line="220" w:lineRule="exact"/>
        <w:rPr>
          <w:rFonts w:ascii="Times New Roman" w:hAnsi="Times New Roman" w:cs="Times New Roman"/>
          <w:lang w:val="ru-RU"/>
        </w:rPr>
      </w:pPr>
    </w:p>
    <w:p w:rsidR="001C0ABD" w:rsidRDefault="00277FA0">
      <w:pPr>
        <w:spacing w:after="0" w:line="240" w:lineRule="auto"/>
        <w:ind w:right="13"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 рейтинговании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управляющих организаций, осуществляющих деятельность по управлению многоквартирными домами на территории Ханты-Мансийского автономного округа – Югры</w:t>
      </w:r>
    </w:p>
    <w:p w:rsidR="001C0ABD" w:rsidRDefault="001C0ABD">
      <w:pPr>
        <w:spacing w:after="0" w:line="240" w:lineRule="auto"/>
        <w:ind w:right="1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C0ABD" w:rsidRDefault="00277FA0">
      <w:pPr>
        <w:spacing w:after="0" w:line="240" w:lineRule="auto"/>
        <w:ind w:right="1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(в ред. приказа №149-О от 26.12.2023, №65-О от 30.06.2023, 213-О от 25.12.2026, 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42-О </w:t>
      </w:r>
      <w:r>
        <w:rPr>
          <w:rFonts w:ascii="Times New Roman" w:hAnsi="Times New Roman" w:cs="Times New Roman"/>
          <w:sz w:val="24"/>
          <w:szCs w:val="24"/>
          <w:lang w:val="ru-RU"/>
        </w:rPr>
        <w:t>от 31.03.2026 )</w:t>
      </w:r>
    </w:p>
    <w:p w:rsidR="001C0ABD" w:rsidRDefault="00277FA0">
      <w:pPr>
        <w:spacing w:after="0" w:line="200" w:lineRule="ex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C0ABD" w:rsidRDefault="001C0ABD">
      <w:pPr>
        <w:spacing w:after="0" w:line="240" w:lineRule="auto"/>
        <w:ind w:right="13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C0ABD" w:rsidRDefault="00277FA0">
      <w:pPr>
        <w:spacing w:after="0" w:line="240" w:lineRule="auto"/>
        <w:ind w:right="13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На основании пункта 1.9. Плана мероприятий (дорожной карты) на 2022 год по разработке рейтинга управляющих организаций в                             Ханты-Мансийском автономном округе – Югре, утвержденного 29.06.2022</w:t>
      </w:r>
    </w:p>
    <w:p w:rsidR="001C0ABD" w:rsidRDefault="00277FA0">
      <w:pPr>
        <w:spacing w:after="0" w:line="240" w:lineRule="auto"/>
        <w:ind w:right="13" w:firstLine="709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>
        <w:rPr>
          <w:rFonts w:ascii="Times New Roman" w:eastAsia="Arial" w:hAnsi="Times New Roman" w:cs="Times New Roman"/>
          <w:sz w:val="28"/>
          <w:szCs w:val="28"/>
          <w:lang w:val="ru-RU"/>
        </w:rPr>
        <w:t>ПРИКАЗЫВАЮ:</w:t>
      </w:r>
    </w:p>
    <w:p w:rsidR="001C0ABD" w:rsidRDefault="001C0ABD">
      <w:pPr>
        <w:spacing w:after="0" w:line="240" w:lineRule="auto"/>
        <w:ind w:right="13" w:firstLine="709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:rsidR="001C0ABD" w:rsidRDefault="00277FA0">
      <w:pPr>
        <w:pStyle w:val="afc"/>
        <w:numPr>
          <w:ilvl w:val="0"/>
          <w:numId w:val="1"/>
        </w:numPr>
        <w:spacing w:after="0" w:line="240" w:lineRule="auto"/>
        <w:ind w:left="0" w:right="13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Утвердить положение о ведении рейтинга управляющих организаций, осуществляющих деятельность по управлению многоквартирными домами на территории Ханты-Мансийского автономного округа – Югры (приложение 1).</w:t>
      </w:r>
    </w:p>
    <w:p w:rsidR="001C0ABD" w:rsidRDefault="00277FA0">
      <w:pPr>
        <w:pStyle w:val="afc"/>
        <w:numPr>
          <w:ilvl w:val="0"/>
          <w:numId w:val="1"/>
        </w:numPr>
        <w:spacing w:after="0" w:line="240" w:lineRule="auto"/>
        <w:ind w:left="0" w:right="13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Утвердить критерии рейтинга, их значения, а также по</w:t>
      </w:r>
      <w:r>
        <w:rPr>
          <w:rFonts w:ascii="Times New Roman" w:hAnsi="Times New Roman" w:cs="Times New Roman"/>
          <w:sz w:val="28"/>
          <w:szCs w:val="28"/>
          <w:lang w:val="ru-RU"/>
        </w:rPr>
        <w:t>рядок их расчета (приложение 2).</w:t>
      </w:r>
    </w:p>
    <w:p w:rsidR="001C0ABD" w:rsidRDefault="00277FA0">
      <w:pPr>
        <w:pStyle w:val="afc"/>
        <w:numPr>
          <w:ilvl w:val="0"/>
          <w:numId w:val="1"/>
        </w:numPr>
        <w:spacing w:after="0" w:line="240" w:lineRule="auto"/>
        <w:ind w:left="0" w:right="13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Рекомендовать главам муниципальных образований (городских округов и муниципальных районов) организовать рейтингование управляющих организаций, осуществляющих деятельность по управлению многоквартирными домами на территории </w:t>
      </w:r>
      <w:r>
        <w:rPr>
          <w:rFonts w:ascii="Times New Roman" w:hAnsi="Times New Roman" w:cs="Times New Roman"/>
          <w:sz w:val="28"/>
          <w:szCs w:val="28"/>
          <w:lang w:val="ru-RU"/>
        </w:rPr>
        <w:t>соответствующего муниципального образования, в порядке, утвержденном приложениями 1,2 к настоящему приказу.</w:t>
      </w:r>
    </w:p>
    <w:p w:rsidR="001C0ABD" w:rsidRDefault="001C0ABD">
      <w:pPr>
        <w:pStyle w:val="afc"/>
        <w:spacing w:after="0" w:line="240" w:lineRule="auto"/>
        <w:ind w:left="709" w:right="1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C0ABD" w:rsidRDefault="001C0ABD">
      <w:pPr>
        <w:pStyle w:val="afc"/>
        <w:spacing w:after="0" w:line="240" w:lineRule="auto"/>
        <w:ind w:left="709" w:right="1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C0ABD" w:rsidRDefault="001C0ABD">
      <w:pPr>
        <w:pStyle w:val="afc"/>
        <w:spacing w:after="0" w:line="240" w:lineRule="auto"/>
        <w:ind w:left="709" w:right="1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C0ABD" w:rsidRDefault="00277FA0">
      <w:pPr>
        <w:pStyle w:val="afc"/>
        <w:spacing w:after="0" w:line="240" w:lineRule="auto"/>
        <w:ind w:left="709" w:right="13" w:hanging="709"/>
        <w:jc w:val="both"/>
        <w:rPr>
          <w:rFonts w:ascii="Times New Roman" w:hAnsi="Times New Roman"/>
          <w:spacing w:val="-3"/>
          <w:sz w:val="28"/>
          <w:szCs w:val="28"/>
          <w:lang w:val="ru-RU"/>
        </w:rPr>
      </w:pPr>
      <w:r>
        <w:rPr>
          <w:rFonts w:ascii="Times New Roman" w:hAnsi="Times New Roman"/>
          <w:spacing w:val="-3"/>
          <w:sz w:val="28"/>
          <w:szCs w:val="28"/>
          <w:lang w:val="ru-RU"/>
        </w:rPr>
        <w:t xml:space="preserve"> Руководитель Службы                                                                       А.П. Копылов</w:t>
      </w:r>
    </w:p>
    <w:p w:rsidR="001C0ABD" w:rsidRDefault="00277FA0">
      <w:pPr>
        <w:spacing w:after="0" w:line="240" w:lineRule="auto"/>
        <w:ind w:firstLine="709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/>
          <w:spacing w:val="-3"/>
          <w:sz w:val="28"/>
          <w:szCs w:val="28"/>
          <w:lang w:val="ru-RU"/>
        </w:rPr>
        <w:br w:type="page" w:clear="all"/>
      </w:r>
      <w:r>
        <w:rPr>
          <w:rFonts w:ascii="Times New Roman" w:hAnsi="Times New Roman" w:cs="Times New Roman"/>
          <w:lang w:val="ru-RU"/>
        </w:rPr>
        <w:lastRenderedPageBreak/>
        <w:t>Приложение №1</w:t>
      </w:r>
    </w:p>
    <w:p w:rsidR="001C0ABD" w:rsidRDefault="00277FA0">
      <w:pPr>
        <w:spacing w:after="0" w:line="240" w:lineRule="auto"/>
        <w:ind w:firstLine="709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 приказу Службы жилищного</w:t>
      </w:r>
      <w:r>
        <w:rPr>
          <w:rFonts w:ascii="Times New Roman" w:hAnsi="Times New Roman" w:cs="Times New Roman"/>
          <w:lang w:val="ru-RU"/>
        </w:rPr>
        <w:t xml:space="preserve"> и строительного надзора </w:t>
      </w:r>
    </w:p>
    <w:p w:rsidR="001C0ABD" w:rsidRDefault="00277FA0">
      <w:pPr>
        <w:spacing w:after="0" w:line="240" w:lineRule="auto"/>
        <w:ind w:firstLine="709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Ханты-Мансийского автономного округа - Югры</w:t>
      </w:r>
    </w:p>
    <w:p w:rsidR="001C0ABD" w:rsidRDefault="00277FA0">
      <w:pPr>
        <w:spacing w:after="0" w:line="240" w:lineRule="auto"/>
        <w:ind w:firstLine="709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 07 декабря 2022 года  № 101-О</w:t>
      </w:r>
    </w:p>
    <w:p w:rsidR="001C0ABD" w:rsidRDefault="001C0ABD">
      <w:pPr>
        <w:ind w:firstLine="709"/>
        <w:jc w:val="right"/>
        <w:rPr>
          <w:lang w:val="ru-RU"/>
        </w:rPr>
      </w:pPr>
    </w:p>
    <w:p w:rsidR="001C0ABD" w:rsidRDefault="00277FA0">
      <w:pPr>
        <w:pStyle w:val="aff1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1" w:name="Par86"/>
      <w:bookmarkEnd w:id="1"/>
      <w:r>
        <w:rPr>
          <w:rFonts w:ascii="Times New Roman" w:hAnsi="Times New Roman"/>
          <w:b/>
          <w:sz w:val="28"/>
          <w:szCs w:val="28"/>
          <w:lang w:val="ru-RU"/>
        </w:rPr>
        <w:t xml:space="preserve">Положение </w:t>
      </w:r>
    </w:p>
    <w:p w:rsidR="001C0ABD" w:rsidRDefault="00277FA0">
      <w:pPr>
        <w:pStyle w:val="aff1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 ведении рейтинга управляющих организаций, осуществляющих деятельность по управлению многоквартирными домами на территории Ханты-Мансийского автономного округа – Югры</w:t>
      </w:r>
    </w:p>
    <w:p w:rsidR="001C0ABD" w:rsidRDefault="00277FA0">
      <w:pPr>
        <w:pStyle w:val="aff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(далее – Положение)</w:t>
      </w:r>
    </w:p>
    <w:p w:rsidR="001C0ABD" w:rsidRDefault="00277FA0">
      <w:pPr>
        <w:pStyle w:val="aff1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/>
          <w:i/>
          <w:iCs/>
          <w:sz w:val="28"/>
          <w:szCs w:val="28"/>
          <w:lang w:val="ru-RU"/>
        </w:rPr>
        <w:t>(в редакции от 31.03.2026)</w:t>
      </w:r>
    </w:p>
    <w:p w:rsidR="001C0ABD" w:rsidRDefault="001C0ABD">
      <w:pPr>
        <w:pStyle w:val="aff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C0ABD" w:rsidRDefault="00277FA0">
      <w:pPr>
        <w:pStyle w:val="aff1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Рейтингование проводится в целях предоставления жителям многоквартирных домов информации об управляющих организациях, осуществляющих деятельность по управлению многоквартирными домами на территории Ханты-Мансийского автономного округа – Югры.</w:t>
      </w:r>
    </w:p>
    <w:p w:rsidR="001C0ABD" w:rsidRDefault="00277FA0">
      <w:pPr>
        <w:pStyle w:val="aff1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Рейтинг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составляется администрацией муниципального образования по месту нахождения обслуживаемых многоквартирных домов. Если управляющая организация осуществляет управление многоквартирными домами на территории разных муниципальных образований, такая управляющая </w:t>
      </w:r>
      <w:r>
        <w:rPr>
          <w:rFonts w:ascii="Times New Roman" w:hAnsi="Times New Roman" w:cs="Times New Roman"/>
          <w:sz w:val="28"/>
          <w:szCs w:val="28"/>
          <w:lang w:val="ru-RU"/>
        </w:rPr>
        <w:t>организация оценивается каждым муниципальным образованием в отдельности и включается в рейтинг каждого муниципального образования.</w:t>
      </w:r>
    </w:p>
    <w:p w:rsidR="001C0ABD" w:rsidRDefault="00277FA0">
      <w:pPr>
        <w:pStyle w:val="aff1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Администрации муниципальных районов составляют общий рейтинг по району, а также по городским и сельским поселениям в отдел</w:t>
      </w:r>
      <w:r>
        <w:rPr>
          <w:rFonts w:ascii="Times New Roman" w:hAnsi="Times New Roman" w:cs="Times New Roman"/>
          <w:sz w:val="28"/>
          <w:szCs w:val="28"/>
          <w:lang w:val="ru-RU"/>
        </w:rPr>
        <w:t>ьности (при наличии в таких городских или сельских поселениях больше одной управляющей организации).</w:t>
      </w:r>
    </w:p>
    <w:p w:rsidR="001C0ABD" w:rsidRDefault="00277FA0">
      <w:pPr>
        <w:pStyle w:val="aff1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92119B">
        <w:rPr>
          <w:rFonts w:ascii="Times New Roman" w:hAnsi="Times New Roman"/>
          <w:sz w:val="28"/>
          <w:szCs w:val="28"/>
          <w:lang w:val="ru-RU"/>
        </w:rPr>
        <w:t>Рейтингование управляющих организаций проводится ежегодно в срок до 1 июня. В 2026 году рейтинг составляется за период осуществления деятельности по упр</w:t>
      </w:r>
      <w:r w:rsidRPr="0092119B">
        <w:rPr>
          <w:rFonts w:ascii="Times New Roman" w:hAnsi="Times New Roman"/>
          <w:sz w:val="28"/>
          <w:szCs w:val="28"/>
          <w:lang w:val="ru-RU"/>
        </w:rPr>
        <w:t>авлению многоквартирными домами с 01.07.2025 по 31.03.2026, далее – за период с 1 апреля года, предшествующего проведению рейтингования, по 31 марта текущего года, в котором такое рейтингование проводится (рейтингуемые периоды)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C0ABD" w:rsidRDefault="00277FA0">
      <w:pPr>
        <w:pStyle w:val="aff1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 Муниципальный опрос жите</w:t>
      </w:r>
      <w:r>
        <w:rPr>
          <w:rFonts w:ascii="Times New Roman" w:hAnsi="Times New Roman" w:cs="Times New Roman"/>
          <w:sz w:val="28"/>
          <w:szCs w:val="28"/>
          <w:lang w:val="ru-RU"/>
        </w:rPr>
        <w:t>лей многоквартирных домов проводится на Платформе обратной связи («Госуслуги. Решаем вместе»), не может длиться менее 30 календарных дней и должен начинаться не позднее 10 календарных дней после окончания рейтингуемого периода. Опрос проводится по каждой у</w:t>
      </w:r>
      <w:r>
        <w:rPr>
          <w:rFonts w:ascii="Times New Roman" w:hAnsi="Times New Roman" w:cs="Times New Roman"/>
          <w:sz w:val="28"/>
          <w:szCs w:val="28"/>
          <w:lang w:val="ru-RU"/>
        </w:rPr>
        <w:t>правляющей организации в отдельности (до реализации на ПОС возможности выбора различных управляющих организаций в рамках одного опроса). Формулировка опроса учитывает оценку по 10-бальной шкале по следующим критериям, характеризующим работу управляющей орг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анизации: содержание придомовой территории, содержание мест общего пользования внутри МКД, оперативность работы по заявкам жильцов, качество взаимодействия с жителями, где 10 баллов –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абсолютно удовлетворен, 0 баллов – совершенно не удовлетворен» либо иная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похожая по смыслу формулировка.</w:t>
      </w:r>
    </w:p>
    <w:p w:rsidR="001C0ABD" w:rsidRDefault="00277FA0">
      <w:pPr>
        <w:pStyle w:val="aff1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 Члены общественного совета по вопросам ЖКХ муниципального образования независимо друг от друга голосуют за каждую управляющую организацию без исключения по 10-бальной шкале, где 10 баллов – абсолютно удовлетворен работой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управляющей организации, 0 баллов – совершенно не удовлетворен. Председатель общественного совета на основании опроса членов рассчитывает средний показатель по каждой управляющей организации (путем деления суммы поданных за каждую управляющую организацию </w:t>
      </w:r>
      <w:r>
        <w:rPr>
          <w:rFonts w:ascii="Times New Roman" w:hAnsi="Times New Roman" w:cs="Times New Roman"/>
          <w:sz w:val="28"/>
          <w:szCs w:val="28"/>
          <w:lang w:val="ru-RU"/>
        </w:rPr>
        <w:t>баллов на общее количество членов, принявших участие в опросе) и направляет его в администрацию муниципального образования не позднее 15 мая за предшествующий рейтингуемый период.</w:t>
      </w:r>
    </w:p>
    <w:p w:rsidR="001C0ABD" w:rsidRDefault="00277FA0">
      <w:pPr>
        <w:pStyle w:val="aff1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 Информация для составления рейтинга предоставляется Службой жилищного и с</w:t>
      </w:r>
      <w:r>
        <w:rPr>
          <w:rFonts w:ascii="Times New Roman" w:hAnsi="Times New Roman" w:cs="Times New Roman"/>
          <w:sz w:val="28"/>
          <w:szCs w:val="28"/>
          <w:lang w:val="ru-RU"/>
        </w:rPr>
        <w:t>троительного надзора Ханты-Мансийского автономного округа – Югры (далее – Служба) в администрацию муниципального образования не позднее 15 мая за предшествующий рейтингуемый период.</w:t>
      </w:r>
    </w:p>
    <w:p w:rsidR="001C0ABD" w:rsidRDefault="00277FA0">
      <w:pPr>
        <w:pStyle w:val="aff1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7.1. Рейтинг (рейтинги) формируется как сумма двух слагаемых: оценки орган</w:t>
      </w:r>
      <w:r>
        <w:rPr>
          <w:rFonts w:ascii="Times New Roman" w:hAnsi="Times New Roman" w:cs="Times New Roman"/>
          <w:sz w:val="28"/>
          <w:szCs w:val="28"/>
          <w:lang w:val="ru-RU"/>
        </w:rPr>
        <w:t>ом государственного жилищного надзора Ханты-Мансийского автономного округа – Югры и администрациями муниципальных образований, а также результатов опросов. Итоги рейтинга публикуются следующим образом: Х (балл органа государственного жилищного надзора и ад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министрации) + </w:t>
      </w:r>
      <w:r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(балл за опросы жителей и общественного совета) = </w:t>
      </w:r>
      <w:r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(итоговый балл). </w:t>
      </w:r>
    </w:p>
    <w:p w:rsidR="001C0ABD" w:rsidRDefault="00277FA0">
      <w:pPr>
        <w:pStyle w:val="aff1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 Рейтинг (рейтинги) утверждается главой муниципального образования или заместителем главы муниципального образования, курирующего вопросы ЖКХ. Итоги рейтинга в срок, н</w:t>
      </w:r>
      <w:r>
        <w:rPr>
          <w:rFonts w:ascii="Times New Roman" w:hAnsi="Times New Roman" w:cs="Times New Roman"/>
          <w:sz w:val="28"/>
          <w:szCs w:val="28"/>
          <w:lang w:val="ru-RU"/>
        </w:rPr>
        <w:t>е превышающий 5 календарных дней с даты подписания, подлежит опубликованию на сайте администрации муниципального образования, а также на официальных страницах муниципального образования во всех социальных сетях присутствия муниципального образования.</w:t>
      </w:r>
    </w:p>
    <w:p w:rsidR="001C0ABD" w:rsidRDefault="00277FA0">
      <w:pPr>
        <w:pStyle w:val="aff1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9. Ре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зультаты рейтинга подлежат обсуждению на совещании, проводимом должностным лицом не ниже уровня заместителя главы администрации муниципального образования, курирующего вопросы ЖКХ, с участием руководителей управляющих организаций в срок, не превышающий 14 </w:t>
      </w:r>
      <w:r>
        <w:rPr>
          <w:rFonts w:ascii="Times New Roman" w:hAnsi="Times New Roman" w:cs="Times New Roman"/>
          <w:sz w:val="28"/>
          <w:szCs w:val="28"/>
          <w:lang w:val="ru-RU"/>
        </w:rPr>
        <w:t>календарных дней с даты опубликования итогов рейтинга, на котором подлежат анализу результаты проведенного рейтинга (путем тиражирования успешных практик управляющих организаций, занявших высокие места в рейтинге, а так же путем выявления низких результато</w:t>
      </w:r>
      <w:r>
        <w:rPr>
          <w:rFonts w:ascii="Times New Roman" w:hAnsi="Times New Roman" w:cs="Times New Roman"/>
          <w:sz w:val="28"/>
          <w:szCs w:val="28"/>
          <w:lang w:val="ru-RU"/>
        </w:rPr>
        <w:t>в работы управляющих организаций, занявших низкие места в рейтинге). Результаты обсуждения оформляются протоколом и, при выработке мероприятий по улучшению деятельности управляющих организаций, дорожной картой. При этом контроль за исполнением дорожной кар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ты должен осуществляться должностным лицом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администрации муниципального образования не ниже уровня заместителя главы, курирующего вопросы ЖКХ.</w:t>
      </w:r>
    </w:p>
    <w:p w:rsidR="001C0ABD" w:rsidRDefault="00277FA0">
      <w:pPr>
        <w:pStyle w:val="aff1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10. Предложения по изменению и/или дополнению критериев рейтинга, их значения, а также порядка их расчета, в том </w:t>
      </w:r>
      <w:r>
        <w:rPr>
          <w:rFonts w:ascii="Times New Roman" w:hAnsi="Times New Roman" w:cs="Times New Roman"/>
          <w:sz w:val="28"/>
          <w:szCs w:val="28"/>
          <w:lang w:val="ru-RU"/>
        </w:rPr>
        <w:t>числе по предложению управляющих организаций, могут быть направлены главами муниципальных образований в Службу в любое время. Обсуждение поступивших предложений проводится не ранее подведения итогов рейтинга того полугодия, когда такие предложения поступил</w:t>
      </w:r>
      <w:r>
        <w:rPr>
          <w:rFonts w:ascii="Times New Roman" w:hAnsi="Times New Roman" w:cs="Times New Roman"/>
          <w:sz w:val="28"/>
          <w:szCs w:val="28"/>
          <w:lang w:val="ru-RU"/>
        </w:rPr>
        <w:t>и в Службу. При принятии решения об изменении/дополнении критериев рейтинга, их значения, а также порядка их расчета, указанные изменения подлежат применению по истечении того рейтингуемого периода, в котором они были приняты.</w:t>
      </w:r>
    </w:p>
    <w:p w:rsidR="001C0ABD" w:rsidRDefault="00277FA0">
      <w:pPr>
        <w:pStyle w:val="aff1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11. Исключен (в ред. от 31.03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.2026). </w:t>
      </w:r>
    </w:p>
    <w:p w:rsidR="001C0ABD" w:rsidRDefault="00277FA0">
      <w:pPr>
        <w:pStyle w:val="aff1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12.  По результатам составления рейтинга управляющие организации, а также персонально их руководители, занявшие первые три места, подлежат поощрению посредством награждения грамотами. Информация о данных организациях, об их коллективах, результата</w:t>
      </w:r>
      <w:r>
        <w:rPr>
          <w:rFonts w:ascii="Times New Roman" w:hAnsi="Times New Roman" w:cs="Times New Roman"/>
          <w:sz w:val="28"/>
          <w:szCs w:val="28"/>
          <w:lang w:val="ru-RU"/>
        </w:rPr>
        <w:t>х их работы и достижениях подлежат широкому освещению администрацией муниципального образования в средствах массовой информации. Перечень мер поощрения не является исчерпывающими и может быть дополнен любыми другими мероприятиями на усмотрение администраци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муниципального образования. </w:t>
      </w:r>
    </w:p>
    <w:p w:rsidR="001C0ABD" w:rsidRDefault="00277FA0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 w:clear="all"/>
      </w:r>
    </w:p>
    <w:p w:rsidR="001C0ABD" w:rsidRDefault="001C0ABD">
      <w:pPr>
        <w:spacing w:before="240"/>
        <w:ind w:firstLine="709"/>
        <w:jc w:val="both"/>
        <w:rPr>
          <w:rFonts w:ascii="Times New Roman" w:hAnsi="Times New Roman" w:cs="Times New Roman"/>
          <w:lang w:val="ru-RU"/>
        </w:rPr>
        <w:sectPr w:rsidR="001C0ABD">
          <w:headerReference w:type="default" r:id="rId13"/>
          <w:pgSz w:w="11906" w:h="16838"/>
          <w:pgMar w:top="1418" w:right="1276" w:bottom="1134" w:left="1559" w:header="709" w:footer="709" w:gutter="0"/>
          <w:cols w:space="708"/>
          <w:titlePg/>
          <w:docGrid w:linePitch="360"/>
        </w:sectPr>
      </w:pPr>
    </w:p>
    <w:p w:rsidR="001C0ABD" w:rsidRDefault="00277FA0">
      <w:pPr>
        <w:spacing w:after="0" w:line="240" w:lineRule="auto"/>
        <w:ind w:firstLine="709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Приложение №2</w:t>
      </w:r>
    </w:p>
    <w:p w:rsidR="001C0ABD" w:rsidRDefault="00277FA0">
      <w:pPr>
        <w:spacing w:after="0" w:line="240" w:lineRule="auto"/>
        <w:ind w:firstLine="709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 приказу Службы жилищного и строительного надзора </w:t>
      </w:r>
    </w:p>
    <w:p w:rsidR="001C0ABD" w:rsidRDefault="00277FA0">
      <w:pPr>
        <w:spacing w:after="0" w:line="240" w:lineRule="auto"/>
        <w:ind w:firstLine="709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Ханты-Мансийского автономного округа - Югры</w:t>
      </w:r>
    </w:p>
    <w:p w:rsidR="001C0ABD" w:rsidRDefault="00277FA0">
      <w:pPr>
        <w:spacing w:after="0" w:line="240" w:lineRule="auto"/>
        <w:ind w:firstLine="709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  7 декабря 2022 года  № 101-О</w:t>
      </w:r>
    </w:p>
    <w:p w:rsidR="001C0ABD" w:rsidRDefault="001C0A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C0ABD" w:rsidRDefault="001C0A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C0ABD" w:rsidRDefault="00277F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Критерии рейтинга, их значения, а также порядок их расчета</w:t>
      </w:r>
    </w:p>
    <w:p w:rsidR="001C0ABD" w:rsidRDefault="00277FA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(в редакции от 31.03.2026)</w:t>
      </w:r>
    </w:p>
    <w:p w:rsidR="001C0ABD" w:rsidRDefault="001C0ABD">
      <w:pPr>
        <w:spacing w:after="0" w:line="240" w:lineRule="auto"/>
        <w:ind w:firstLine="709"/>
        <w:jc w:val="right"/>
        <w:rPr>
          <w:rFonts w:ascii="Times New Roman" w:hAnsi="Times New Roman" w:cs="Times New Roman"/>
          <w:lang w:val="ru-RU"/>
        </w:rPr>
      </w:pPr>
    </w:p>
    <w:p w:rsidR="001C0ABD" w:rsidRDefault="001C0ABD">
      <w:pPr>
        <w:spacing w:after="0" w:line="240" w:lineRule="auto"/>
        <w:ind w:firstLine="709"/>
        <w:jc w:val="right"/>
        <w:rPr>
          <w:rFonts w:ascii="Times New Roman" w:hAnsi="Times New Roman" w:cs="Times New Roman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1"/>
        <w:gridCol w:w="1843"/>
        <w:gridCol w:w="1843"/>
        <w:gridCol w:w="1843"/>
        <w:gridCol w:w="1842"/>
        <w:gridCol w:w="1809"/>
      </w:tblGrid>
      <w:tr w:rsidR="001C0ABD">
        <w:trPr>
          <w:trHeight w:val="888"/>
        </w:trPr>
        <w:tc>
          <w:tcPr>
            <w:tcW w:w="567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критерия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оценки 1 / балл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оценки 2 / балл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оценки 3 / балл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оценки 4 / балл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оценки 5 / балл</w:t>
            </w:r>
          </w:p>
        </w:tc>
      </w:tr>
      <w:tr w:rsidR="001C0ABD" w:rsidRPr="0092119B">
        <w:trPr>
          <w:trHeight w:val="199"/>
        </w:trPr>
        <w:tc>
          <w:tcPr>
            <w:tcW w:w="14278" w:type="dxa"/>
            <w:gridSpan w:val="7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Служба жилищного и строительного надзора Ханты-Мансийского автономного округа - Югры</w:t>
            </w:r>
          </w:p>
        </w:tc>
      </w:tr>
      <w:tr w:rsidR="001C0ABD">
        <w:trPr>
          <w:trHeight w:val="484"/>
        </w:trPr>
        <w:tc>
          <w:tcPr>
            <w:tcW w:w="567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1C0ABD" w:rsidRDefault="00277FA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Количество нарушений, выявленных в ходе контрольных (надзорных) мероприятий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 /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/ 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/ 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/ 8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/ 10</w:t>
            </w:r>
          </w:p>
        </w:tc>
      </w:tr>
      <w:tr w:rsidR="001C0ABD">
        <w:tc>
          <w:tcPr>
            <w:tcW w:w="567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1C0ABD" w:rsidRDefault="00277FA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Количество нарушений, устраненных в ходе контрольных (надзорных) мероприятий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 84% /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85% - 89% / 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90% - 94% / 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95% - 99% / 8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/ 10</w:t>
            </w:r>
          </w:p>
        </w:tc>
      </w:tr>
      <w:tr w:rsidR="001C0ABD">
        <w:tc>
          <w:tcPr>
            <w:tcW w:w="567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1C0ABD" w:rsidRDefault="00277FA0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Срок управления многоквартирными домами 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&lt; 1 /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1-3 /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3-6 / 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6-10 / 4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&gt; 10 / 5</w:t>
            </w:r>
          </w:p>
        </w:tc>
      </w:tr>
      <w:tr w:rsidR="001C0ABD">
        <w:tc>
          <w:tcPr>
            <w:tcW w:w="567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1C0ABD" w:rsidRDefault="00277FA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Количество случаев привлечения к административной ответственности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 /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/ 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 8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 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/ 10</w:t>
            </w:r>
          </w:p>
        </w:tc>
      </w:tr>
      <w:tr w:rsidR="001C0ABD">
        <w:tc>
          <w:tcPr>
            <w:tcW w:w="567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1C0ABD" w:rsidRDefault="00277FA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Соблюдение сроков рассмотрения сообщений и требований к качеству ответов на Платформе обратной связи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 90% /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91% - 93% / 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94% - 96% / 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97% - 99% / 8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/ 10</w:t>
            </w:r>
          </w:p>
        </w:tc>
      </w:tr>
      <w:tr w:rsidR="001C0ABD">
        <w:tc>
          <w:tcPr>
            <w:tcW w:w="567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1C0ABD" w:rsidRDefault="00277FA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Полнота размещения в Государственной информационной системе жилищно-коммунального хозяйства (ГИС ЖКХ) информации о технических характеристиках объектов жилищного фонда, предусмотренной приказом Минкомсвязи РФ и Минстроя РФ №74, №114/пр от 29.02.2016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/ 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- 9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/ 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- 9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/ 8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 / 10</w:t>
            </w:r>
          </w:p>
        </w:tc>
      </w:tr>
      <w:tr w:rsidR="001C0ABD">
        <w:tc>
          <w:tcPr>
            <w:tcW w:w="567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1C0ABD" w:rsidRDefault="00277FA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Размещение в ГИС ЖКХ платежных документов по оплате за жилищно-коммунальные услуги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/ 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/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/ 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/ 6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/ 10</w:t>
            </w:r>
          </w:p>
        </w:tc>
      </w:tr>
      <w:tr w:rsidR="001C0ABD">
        <w:tc>
          <w:tcPr>
            <w:tcW w:w="567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1C0ABD" w:rsidRDefault="00277FA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Факт вхождения управляющей организации в саморегулируемую организацию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/ 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 / 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C0ABD">
        <w:trPr>
          <w:trHeight w:val="557"/>
        </w:trPr>
        <w:tc>
          <w:tcPr>
            <w:tcW w:w="567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1C0ABD" w:rsidRPr="0092119B" w:rsidRDefault="00277FA0">
            <w:pPr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92119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Проведение общих собраний собственников в многоквартирном доме в форме заочного голосования с использованием системы  (ст.47.1 ЖК РФ) по инициативе управляющей </w:t>
            </w:r>
            <w:r w:rsidRPr="0092119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lastRenderedPageBreak/>
              <w:t>организации **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&lt; 45% / 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45-49% / 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50-54% / 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55-59% / 15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≥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60% / 20</w:t>
            </w:r>
          </w:p>
        </w:tc>
      </w:tr>
      <w:tr w:rsidR="001C0ABD">
        <w:trPr>
          <w:trHeight w:val="992"/>
        </w:trPr>
        <w:tc>
          <w:tcPr>
            <w:tcW w:w="567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1C0ABD" w:rsidRPr="0092119B" w:rsidRDefault="00277FA0">
            <w:pPr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92119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Доля МКД, технически готовых к проведению онлайн-ОСС**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50-59% /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60-69% / 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70-79% / 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80-89% / 8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≥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90% / 10</w:t>
            </w:r>
          </w:p>
        </w:tc>
      </w:tr>
      <w:tr w:rsidR="001C0ABD">
        <w:trPr>
          <w:trHeight w:val="959"/>
        </w:trPr>
        <w:tc>
          <w:tcPr>
            <w:tcW w:w="567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1C0ABD" w:rsidRPr="0092119B" w:rsidRDefault="00277FA0">
            <w:pPr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92119B">
              <w:rPr>
                <w:rFonts w:ascii="Times New Roman" w:hAnsi="Times New Roman"/>
                <w:sz w:val="26"/>
                <w:szCs w:val="26"/>
                <w:lang w:val="ru-RU"/>
              </w:rPr>
              <w:t>Факт ведения управляющей организацией информационного канала в национальном мессенджере МАХ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Да/10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Нет/ 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Х</w:t>
            </w:r>
          </w:p>
        </w:tc>
      </w:tr>
      <w:tr w:rsidR="001C0ABD">
        <w:trPr>
          <w:trHeight w:val="473"/>
        </w:trPr>
        <w:tc>
          <w:tcPr>
            <w:tcW w:w="567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12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1C0ABD" w:rsidRDefault="00277FA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Результаты проводимого на Платформе обратной связи опроса жителей многоквартирных домов об общей удовлетворенности работой управляющей организации (муниципальный опрос)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,9 / 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,9 / 40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,9 / 60 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&gt;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 / 80</w:t>
            </w:r>
          </w:p>
        </w:tc>
      </w:tr>
      <w:tr w:rsidR="001C0ABD">
        <w:trPr>
          <w:trHeight w:val="473"/>
        </w:trPr>
        <w:tc>
          <w:tcPr>
            <w:tcW w:w="567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1C0ABD" w:rsidRPr="0092119B" w:rsidRDefault="00277FA0">
            <w:pPr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92119B">
              <w:rPr>
                <w:rFonts w:ascii="Times New Roman" w:hAnsi="Times New Roman"/>
                <w:sz w:val="26"/>
                <w:szCs w:val="26"/>
                <w:lang w:val="ru-RU"/>
              </w:rPr>
              <w:t>Доля управляемых МКД, по которым размещены отчеты об исполнении договора управления за последний отчетный период</w:t>
            </w:r>
            <w:r w:rsidRPr="0092119B">
              <w:rPr>
                <w:rFonts w:ascii="Times New Roman" w:hAnsi="Times New Roman"/>
                <w:sz w:val="26"/>
                <w:szCs w:val="26"/>
                <w:lang w:val="ru-RU"/>
              </w:rPr>
              <w:tab/>
            </w:r>
            <w:r w:rsidRPr="0092119B">
              <w:rPr>
                <w:rFonts w:ascii="Times New Roman" w:hAnsi="Times New Roman"/>
                <w:sz w:val="26"/>
                <w:szCs w:val="26"/>
                <w:lang w:val="ru-RU"/>
              </w:rPr>
              <w:tab/>
            </w:r>
            <w:r w:rsidRPr="0092119B">
              <w:rPr>
                <w:rFonts w:ascii="Times New Roman" w:hAnsi="Times New Roman"/>
                <w:sz w:val="26"/>
                <w:szCs w:val="26"/>
                <w:lang w:val="ru-RU"/>
              </w:rPr>
              <w:tab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90-92% /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93-95% / 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96-97% / 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98-99% / 8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100% / 10</w:t>
            </w:r>
          </w:p>
        </w:tc>
      </w:tr>
      <w:tr w:rsidR="001C0ABD">
        <w:trPr>
          <w:trHeight w:val="654"/>
        </w:trPr>
        <w:tc>
          <w:tcPr>
            <w:tcW w:w="14278" w:type="dxa"/>
            <w:gridSpan w:val="7"/>
            <w:vMerge w:val="restart"/>
            <w:shd w:val="clear" w:color="FFFFFF" w:fill="FFFFFF"/>
            <w:vAlign w:val="center"/>
          </w:tcPr>
          <w:p w:rsidR="001C0ABD" w:rsidRDefault="001C0A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0ABD">
        <w:trPr>
          <w:trHeight w:val="654"/>
        </w:trPr>
        <w:tc>
          <w:tcPr>
            <w:tcW w:w="567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1C0ABD" w:rsidRDefault="00277FA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Исключен (в ред. от 31.03.2026)***.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C0ABD">
        <w:tc>
          <w:tcPr>
            <w:tcW w:w="14278" w:type="dxa"/>
            <w:gridSpan w:val="7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Администрация муниципального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образования</w:t>
            </w:r>
          </w:p>
        </w:tc>
      </w:tr>
      <w:tr w:rsidR="001C0ABD">
        <w:trPr>
          <w:trHeight w:val="2245"/>
        </w:trPr>
        <w:tc>
          <w:tcPr>
            <w:tcW w:w="567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1C0ABD" w:rsidRDefault="00277FA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Размер задолженности потребителей жилищно-коммунальных услуг, по которым имеются судебные решения о взыскании задолженности, переданные на принудительное исполнение в структурные подразделения Федеральной службы судебных приставов****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 60% /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61% - 70% / 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71% - 80% / 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81% - 90% / 8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91%  / 10</w:t>
            </w:r>
          </w:p>
        </w:tc>
      </w:tr>
      <w:tr w:rsidR="001C0ABD">
        <w:tc>
          <w:tcPr>
            <w:tcW w:w="567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1C0ABD" w:rsidRDefault="00277FA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Своевременное выполнение заявок, поступивших в ЕДДС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 80% /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81% - 85% / 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86% - 90% / 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91% - 95% / 8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96%  / 10</w:t>
            </w:r>
          </w:p>
        </w:tc>
      </w:tr>
      <w:tr w:rsidR="001C0ABD">
        <w:tc>
          <w:tcPr>
            <w:tcW w:w="567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7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1C0ABD" w:rsidRDefault="00277FA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Количество случаев привлечения к административной ответственности (по данным органа муниципального жилищного контроля) </w:t>
            </w:r>
          </w:p>
          <w:p w:rsidR="001C0ABD" w:rsidRDefault="00277FA0">
            <w:pP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ru-RU"/>
              </w:rPr>
              <w:t>Утратит силу с 01.09.2026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 /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/ 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/ 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/ 8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 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/ 10</w:t>
            </w:r>
          </w:p>
        </w:tc>
      </w:tr>
      <w:tr w:rsidR="001C0ABD">
        <w:tc>
          <w:tcPr>
            <w:tcW w:w="567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8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1C0ABD" w:rsidRDefault="00277FA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Факт вхождения управляющей организации в перечень, предусмотренный ч.17 ст.161 ЖК РФ и постановлением Правительства РФ от 21.12.2018 №1616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/ 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 / 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C0ABD">
        <w:trPr>
          <w:trHeight w:val="2160"/>
        </w:trPr>
        <w:tc>
          <w:tcPr>
            <w:tcW w:w="567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1C0ABD" w:rsidRPr="0092119B" w:rsidRDefault="00277FA0">
            <w:pPr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92119B">
              <w:rPr>
                <w:rFonts w:ascii="Times New Roman" w:hAnsi="Times New Roman"/>
                <w:sz w:val="26"/>
                <w:szCs w:val="26"/>
                <w:lang w:val="ru-RU"/>
              </w:rPr>
              <w:t>Получение паспорта обеспечения готовности к отопительному периоду</w:t>
            </w:r>
            <w:r w:rsidRPr="0092119B">
              <w:rPr>
                <w:rFonts w:ascii="Times New Roman" w:hAnsi="Times New Roman"/>
                <w:sz w:val="26"/>
                <w:szCs w:val="26"/>
                <w:lang w:val="ru-RU"/>
              </w:rPr>
              <w:tab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Pr="0092119B" w:rsidRDefault="00277FA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2119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Получен с уровнем готовности «Готов с условиями»  / 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Pr="0092119B" w:rsidRDefault="00277FA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2119B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Получен с уровнем готовности «Готов» / 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Х</w:t>
            </w:r>
          </w:p>
        </w:tc>
      </w:tr>
      <w:tr w:rsidR="001C0ABD">
        <w:tc>
          <w:tcPr>
            <w:tcW w:w="567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20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1C0ABD" w:rsidRDefault="00277FA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Результаты опроса членов общественного совета по вопросам ЖКХ при администрации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 1,9 / 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2,0 – 3,9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4,0 – 5,9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6,0 – 7,9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8,0  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0ABD">
        <w:tc>
          <w:tcPr>
            <w:tcW w:w="567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21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1C0ABD" w:rsidRDefault="00277FA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Наличие в управлении многоквартирных домов, признанных в установленном порядке аварийными*****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/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/ 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/ 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/ 8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1C0ABD" w:rsidRDefault="00277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 / 10</w:t>
            </w:r>
          </w:p>
        </w:tc>
      </w:tr>
    </w:tbl>
    <w:p w:rsidR="001C0ABD" w:rsidRDefault="001C0AB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C0ABD" w:rsidRDefault="00277FA0">
      <w:pPr>
        <w:spacing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lang w:val="ru-RU"/>
        </w:rPr>
        <w:t xml:space="preserve">* 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>Количество лет управления (начиная с даты начала управления первым домом);</w:t>
      </w:r>
    </w:p>
    <w:p w:rsidR="001C0ABD" w:rsidRDefault="00277FA0">
      <w:pPr>
        <w:spacing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 xml:space="preserve">** </w:t>
      </w:r>
      <w:r>
        <w:rPr>
          <w:rFonts w:ascii="Times New Roman" w:hAnsi="Times New Roman" w:cs="Times New Roman"/>
          <w:lang w:val="ru-RU"/>
        </w:rPr>
        <w:tab/>
        <w:t>По данным аналитического дашборда, предоставленного Оператором ГИС ЖКХ;</w:t>
      </w:r>
    </w:p>
    <w:p w:rsidR="001C0ABD" w:rsidRDefault="00277FA0">
      <w:pPr>
        <w:spacing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>***</w:t>
      </w:r>
      <w:r>
        <w:rPr>
          <w:rFonts w:ascii="Times New Roman" w:hAnsi="Times New Roman" w:cs="Times New Roman"/>
          <w:lang w:val="ru-RU"/>
        </w:rPr>
        <w:tab/>
        <w:t>Исключен (в ред. от 31.03.2026);</w:t>
      </w:r>
    </w:p>
    <w:p w:rsidR="001C0ABD" w:rsidRDefault="00277FA0">
      <w:pPr>
        <w:spacing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>****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>По данным управляющих организаций, по состоянию на конец рейтингуемого периода;</w:t>
      </w:r>
    </w:p>
    <w:p w:rsidR="001C0ABD" w:rsidRDefault="00277FA0">
      <w:pPr>
        <w:spacing w:line="240" w:lineRule="auto"/>
        <w:ind w:firstLine="709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*****   Критерий применяется на усмотрение органа местного самоуправления исходя из структуры объектов жилищного фонда.    </w:t>
      </w:r>
    </w:p>
    <w:p w:rsidR="001C0ABD" w:rsidRDefault="00277FA0">
      <w:pPr>
        <w:spacing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Порядок расчета показателей:</w:t>
      </w:r>
    </w:p>
    <w:p w:rsidR="001C0ABD" w:rsidRDefault="00277FA0">
      <w:pPr>
        <w:spacing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Показатели по критерию </w:t>
      </w:r>
      <w:r>
        <w:rPr>
          <w:rFonts w:ascii="Times New Roman" w:hAnsi="Times New Roman" w:cs="Times New Roman"/>
          <w:lang w:val="ru-RU"/>
        </w:rPr>
        <w:t xml:space="preserve">1 рассчитываются: Х </w:t>
      </w:r>
      <w:r>
        <w:rPr>
          <w:rFonts w:ascii="Times New Roman" w:hAnsi="Times New Roman" w:cs="Times New Roman"/>
          <w:i/>
          <w:lang w:val="ru-RU"/>
        </w:rPr>
        <w:t>(количество нарушений)</w:t>
      </w:r>
      <w:r>
        <w:rPr>
          <w:rFonts w:ascii="Times New Roman" w:hAnsi="Times New Roman" w:cs="Times New Roman"/>
          <w:lang w:val="ru-RU"/>
        </w:rPr>
        <w:t xml:space="preserve"> / 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i/>
          <w:lang w:val="ru-RU"/>
        </w:rPr>
        <w:t>(площадь обслуживаемого жилфонда (кв.м.)</w:t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х 100</w:t>
      </w:r>
      <w:r>
        <w:rPr>
          <w:rFonts w:ascii="Times New Roman" w:hAnsi="Times New Roman" w:cs="Times New Roman"/>
          <w:i/>
          <w:lang w:val="ru-RU"/>
        </w:rPr>
        <w:t>)</w:t>
      </w:r>
    </w:p>
    <w:p w:rsidR="001C0ABD" w:rsidRDefault="00277FA0">
      <w:pPr>
        <w:spacing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Показатели по критерию 2 рассчитываются: 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i/>
          <w:lang w:val="ru-RU"/>
        </w:rPr>
        <w:t>(количество устраненных нарушений)</w:t>
      </w:r>
      <w:r>
        <w:rPr>
          <w:rFonts w:ascii="Times New Roman" w:hAnsi="Times New Roman" w:cs="Times New Roman"/>
          <w:lang w:val="ru-RU"/>
        </w:rPr>
        <w:t xml:space="preserve"> / Х </w:t>
      </w:r>
      <w:r>
        <w:rPr>
          <w:rFonts w:ascii="Times New Roman" w:hAnsi="Times New Roman" w:cs="Times New Roman"/>
          <w:i/>
          <w:lang w:val="ru-RU"/>
        </w:rPr>
        <w:t>(количество нарушений)</w:t>
      </w:r>
      <w:r>
        <w:rPr>
          <w:rFonts w:ascii="Times New Roman" w:hAnsi="Times New Roman" w:cs="Times New Roman"/>
          <w:lang w:val="ru-RU"/>
        </w:rPr>
        <w:t xml:space="preserve"> х 100</w:t>
      </w:r>
    </w:p>
    <w:p w:rsidR="001C0ABD" w:rsidRDefault="00277FA0">
      <w:pPr>
        <w:spacing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Показатели по критерию 3 рассчитываются как количество лет управления МКД (с даты начала управления первым домом)</w:t>
      </w:r>
    </w:p>
    <w:p w:rsidR="001C0ABD" w:rsidRDefault="00277FA0">
      <w:pPr>
        <w:spacing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Показатели по критерию 4 рассчитываются: Х </w:t>
      </w:r>
      <w:r>
        <w:rPr>
          <w:rFonts w:ascii="Times New Roman" w:hAnsi="Times New Roman" w:cs="Times New Roman"/>
          <w:i/>
          <w:lang w:val="ru-RU"/>
        </w:rPr>
        <w:t>(количество фактов привлечения к административно ответственности)</w:t>
      </w:r>
      <w:r>
        <w:rPr>
          <w:rFonts w:ascii="Times New Roman" w:hAnsi="Times New Roman" w:cs="Times New Roman"/>
          <w:lang w:val="ru-RU"/>
        </w:rPr>
        <w:t xml:space="preserve"> / 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i/>
          <w:lang w:val="ru-RU"/>
        </w:rPr>
        <w:t>(площадь обслуживаемого жилфо</w:t>
      </w:r>
      <w:r>
        <w:rPr>
          <w:rFonts w:ascii="Times New Roman" w:hAnsi="Times New Roman" w:cs="Times New Roman"/>
          <w:i/>
          <w:lang w:val="ru-RU"/>
        </w:rPr>
        <w:t>нда (кв.м.)</w:t>
      </w:r>
      <w:r>
        <w:rPr>
          <w:rFonts w:ascii="Times New Roman" w:hAnsi="Times New Roman" w:cs="Times New Roman"/>
          <w:lang w:val="ru-RU"/>
        </w:rPr>
        <w:t xml:space="preserve"> х 100</w:t>
      </w:r>
    </w:p>
    <w:p w:rsidR="001C0ABD" w:rsidRDefault="00277FA0">
      <w:pPr>
        <w:spacing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Показатели по критерию 5 рассчитываются путем определения среднего значения </w:t>
      </w:r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lang w:val="ru-RU"/>
        </w:rPr>
        <w:t xml:space="preserve"> (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i/>
          <w:lang w:val="ru-RU"/>
        </w:rPr>
        <w:t>(процент сообщений, рассмотренных в установленные сроки)</w:t>
      </w:r>
      <w:r>
        <w:rPr>
          <w:rFonts w:ascii="Times New Roman" w:hAnsi="Times New Roman" w:cs="Times New Roman"/>
          <w:lang w:val="ru-RU"/>
        </w:rPr>
        <w:t xml:space="preserve"> + </w:t>
      </w:r>
      <w:r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i/>
          <w:lang w:val="ru-RU"/>
        </w:rPr>
        <w:t>(процент сообщений, по которым не поступало повторных сообщений)</w:t>
      </w:r>
      <w:r>
        <w:rPr>
          <w:rFonts w:ascii="Times New Roman" w:hAnsi="Times New Roman" w:cs="Times New Roman"/>
          <w:lang w:val="ru-RU"/>
        </w:rPr>
        <w:t xml:space="preserve"> / 2)</w:t>
      </w:r>
    </w:p>
    <w:p w:rsidR="001C0ABD" w:rsidRDefault="00277FA0">
      <w:pPr>
        <w:spacing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Показатели по критерию 6 р</w:t>
      </w:r>
      <w:r>
        <w:rPr>
          <w:rFonts w:ascii="Times New Roman" w:hAnsi="Times New Roman" w:cs="Times New Roman"/>
          <w:lang w:val="ru-RU"/>
        </w:rPr>
        <w:t>ассчитываются в соответствии с выгрузкой данных из ГИС ЖКХ</w:t>
      </w:r>
    </w:p>
    <w:p w:rsidR="001C0ABD" w:rsidRDefault="00277FA0">
      <w:pPr>
        <w:spacing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Показатели по критерию 7 рассчитываются в соответствии с выгрузкой данных из ГИС ЖКХ</w:t>
      </w:r>
    </w:p>
    <w:p w:rsidR="001C0ABD" w:rsidRDefault="00277FA0">
      <w:pPr>
        <w:spacing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Показатели по критерию 8 рассчитываются как результат исполнения (неисполнения) условия</w:t>
      </w:r>
    </w:p>
    <w:p w:rsidR="001C0ABD" w:rsidRDefault="00277FA0">
      <w:pPr>
        <w:spacing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Показатели по критерию 9</w:t>
      </w:r>
      <w:r>
        <w:rPr>
          <w:rFonts w:ascii="Times New Roman" w:hAnsi="Times New Roman" w:cs="Times New Roman"/>
          <w:lang w:val="ru-RU"/>
        </w:rPr>
        <w:t xml:space="preserve"> рассчитываются: </w:t>
      </w:r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i/>
          <w:lang w:val="ru-RU"/>
        </w:rPr>
        <w:t>(количество общих собраний с использованием системы)</w:t>
      </w:r>
      <w:r>
        <w:rPr>
          <w:rFonts w:ascii="Times New Roman" w:hAnsi="Times New Roman" w:cs="Times New Roman"/>
          <w:lang w:val="ru-RU"/>
        </w:rPr>
        <w:t xml:space="preserve"> / 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i/>
          <w:lang w:val="ru-RU"/>
        </w:rPr>
        <w:t>(общее количество общих собраний)</w:t>
      </w:r>
      <w:r>
        <w:rPr>
          <w:rFonts w:ascii="Times New Roman" w:hAnsi="Times New Roman" w:cs="Times New Roman"/>
          <w:lang w:val="ru-RU"/>
        </w:rPr>
        <w:t xml:space="preserve"> х 100</w:t>
      </w:r>
    </w:p>
    <w:p w:rsidR="001C0ABD" w:rsidRDefault="00277FA0">
      <w:pPr>
        <w:spacing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Показатели по критерию 10 рассчитываются: X </w:t>
      </w:r>
      <w:r>
        <w:rPr>
          <w:rFonts w:ascii="Times New Roman" w:hAnsi="Times New Roman" w:cs="Times New Roman"/>
          <w:i/>
          <w:iCs/>
          <w:lang w:val="ru-RU"/>
        </w:rPr>
        <w:t>(количество домов, технически готовых к проведению онлайн-ОСС)</w:t>
      </w:r>
      <w:r>
        <w:rPr>
          <w:rFonts w:ascii="Times New Roman" w:hAnsi="Times New Roman" w:cs="Times New Roman"/>
          <w:lang w:val="ru-RU"/>
        </w:rPr>
        <w:t xml:space="preserve"> / Y</w:t>
      </w:r>
      <w:r>
        <w:rPr>
          <w:rFonts w:ascii="Times New Roman" w:hAnsi="Times New Roman" w:cs="Times New Roman"/>
          <w:i/>
          <w:iCs/>
          <w:lang w:val="ru-RU"/>
        </w:rPr>
        <w:t xml:space="preserve"> (количество домов)</w:t>
      </w:r>
      <w:r>
        <w:rPr>
          <w:rFonts w:ascii="Times New Roman" w:hAnsi="Times New Roman" w:cs="Times New Roman"/>
          <w:lang w:val="ru-RU"/>
        </w:rPr>
        <w:t xml:space="preserve"> x 100</w:t>
      </w:r>
    </w:p>
    <w:p w:rsidR="001C0ABD" w:rsidRDefault="00277FA0">
      <w:pPr>
        <w:spacing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Пока</w:t>
      </w:r>
      <w:r>
        <w:rPr>
          <w:rFonts w:ascii="Times New Roman" w:hAnsi="Times New Roman" w:cs="Times New Roman"/>
          <w:lang w:val="ru-RU"/>
        </w:rPr>
        <w:t>затели по критерию 11 рассчитываются как результат исполнения (неисполнения) условия</w:t>
      </w:r>
    </w:p>
    <w:p w:rsidR="001C0ABD" w:rsidRDefault="00277FA0">
      <w:pPr>
        <w:spacing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Показатели по критерию 12 рассчитываются в соответствии со средней оценкой (при проведении опроса по 10-бальной шкале). При этом к учету принимаются решения исходя из треб</w:t>
      </w:r>
      <w:r>
        <w:rPr>
          <w:rFonts w:ascii="Times New Roman" w:hAnsi="Times New Roman" w:cs="Times New Roman"/>
          <w:lang w:val="ru-RU"/>
        </w:rPr>
        <w:t xml:space="preserve">ования: суммарно более одного голоса на один многоквартирный дом, находящийся в управлении, согласно реестру субъекта РФ в ГИС ЖКХ без привязки к конкретному адресу </w:t>
      </w:r>
    </w:p>
    <w:p w:rsidR="001C0ABD" w:rsidRDefault="00277FA0">
      <w:pPr>
        <w:spacing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Показатели по критерию 13 рассчитываются: Х </w:t>
      </w:r>
      <w:r>
        <w:rPr>
          <w:rFonts w:ascii="Times New Roman" w:hAnsi="Times New Roman" w:cs="Times New Roman"/>
          <w:i/>
          <w:lang w:val="ru-RU"/>
        </w:rPr>
        <w:t>(количество случаев принятия мер)</w:t>
      </w:r>
      <w:r>
        <w:rPr>
          <w:rFonts w:ascii="Times New Roman" w:hAnsi="Times New Roman" w:cs="Times New Roman"/>
          <w:lang w:val="ru-RU"/>
        </w:rPr>
        <w:t xml:space="preserve"> / 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i/>
          <w:lang w:val="ru-RU"/>
        </w:rPr>
        <w:t>(общее к</w:t>
      </w:r>
      <w:r>
        <w:rPr>
          <w:rFonts w:ascii="Times New Roman" w:hAnsi="Times New Roman" w:cs="Times New Roman"/>
          <w:i/>
          <w:lang w:val="ru-RU"/>
        </w:rPr>
        <w:t>оличество предостережений о недопустимости нарушений обязательных требований)</w:t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х 100</w:t>
      </w:r>
    </w:p>
    <w:p w:rsidR="001C0ABD" w:rsidRDefault="00277FA0">
      <w:pPr>
        <w:spacing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Показатель по критерию 14 исключен (в ред. от 31.03.2026)</w:t>
      </w:r>
    </w:p>
    <w:p w:rsidR="001C0ABD" w:rsidRDefault="00277FA0">
      <w:pPr>
        <w:spacing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Показатели по критерию 15 рассчитываются: </w:t>
      </w:r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i/>
          <w:lang w:val="ru-RU"/>
        </w:rPr>
        <w:t>(размер задолженности, по которой имеются судебные решения)</w:t>
      </w:r>
      <w:r>
        <w:rPr>
          <w:rFonts w:ascii="Times New Roman" w:hAnsi="Times New Roman" w:cs="Times New Roman"/>
          <w:lang w:val="ru-RU"/>
        </w:rPr>
        <w:t xml:space="preserve"> / 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i/>
          <w:lang w:val="ru-RU"/>
        </w:rPr>
        <w:t>(общий размер задолженности)</w:t>
      </w:r>
      <w:r>
        <w:rPr>
          <w:rFonts w:ascii="Times New Roman" w:hAnsi="Times New Roman" w:cs="Times New Roman"/>
          <w:lang w:val="ru-RU"/>
        </w:rPr>
        <w:t xml:space="preserve"> х 100</w:t>
      </w:r>
    </w:p>
    <w:p w:rsidR="001C0ABD" w:rsidRDefault="00277FA0">
      <w:pPr>
        <w:spacing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Показатели по критерию 16 рассчитываются: </w:t>
      </w:r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i/>
          <w:lang w:val="ru-RU"/>
        </w:rPr>
        <w:t>(количество фактов исполненных в срок заявок)</w:t>
      </w:r>
      <w:r>
        <w:rPr>
          <w:rFonts w:ascii="Times New Roman" w:hAnsi="Times New Roman" w:cs="Times New Roman"/>
          <w:lang w:val="ru-RU"/>
        </w:rPr>
        <w:t xml:space="preserve"> / 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i/>
          <w:lang w:val="ru-RU"/>
        </w:rPr>
        <w:t>(общее количество заявок)</w:t>
      </w:r>
      <w:r>
        <w:rPr>
          <w:rFonts w:ascii="Times New Roman" w:hAnsi="Times New Roman" w:cs="Times New Roman"/>
          <w:lang w:val="ru-RU"/>
        </w:rPr>
        <w:t xml:space="preserve"> х 100</w:t>
      </w:r>
    </w:p>
    <w:p w:rsidR="001C0ABD" w:rsidRDefault="00277FA0">
      <w:pPr>
        <w:spacing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Показатели по критерию 17 рассчитываются: Х </w:t>
      </w:r>
      <w:r>
        <w:rPr>
          <w:rFonts w:ascii="Times New Roman" w:hAnsi="Times New Roman" w:cs="Times New Roman"/>
          <w:i/>
          <w:lang w:val="ru-RU"/>
        </w:rPr>
        <w:t>(количество фактов привлечения к административно от</w:t>
      </w:r>
      <w:r>
        <w:rPr>
          <w:rFonts w:ascii="Times New Roman" w:hAnsi="Times New Roman" w:cs="Times New Roman"/>
          <w:i/>
          <w:lang w:val="ru-RU"/>
        </w:rPr>
        <w:t>ветственности)</w:t>
      </w:r>
      <w:r>
        <w:rPr>
          <w:rFonts w:ascii="Times New Roman" w:hAnsi="Times New Roman" w:cs="Times New Roman"/>
          <w:lang w:val="ru-RU"/>
        </w:rPr>
        <w:t xml:space="preserve"> / 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i/>
          <w:lang w:val="ru-RU"/>
        </w:rPr>
        <w:t>(площадь обслуживаемого жилфонда (кв.м.)</w:t>
      </w:r>
      <w:r>
        <w:rPr>
          <w:rFonts w:ascii="Times New Roman" w:hAnsi="Times New Roman" w:cs="Times New Roman"/>
          <w:lang w:val="ru-RU"/>
        </w:rPr>
        <w:t xml:space="preserve"> х100</w:t>
      </w:r>
    </w:p>
    <w:p w:rsidR="001C0ABD" w:rsidRDefault="00277FA0">
      <w:pPr>
        <w:spacing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Показатели по критерию 18 рассчитываются как результат исполнения (неисполнения) условия</w:t>
      </w:r>
    </w:p>
    <w:p w:rsidR="001C0ABD" w:rsidRDefault="00277FA0">
      <w:pPr>
        <w:spacing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Показатели по критерию 19 рассчитываются как результат исполнения (неисполнения) условия</w:t>
      </w:r>
    </w:p>
    <w:p w:rsidR="001C0ABD" w:rsidRDefault="00277FA0">
      <w:pPr>
        <w:spacing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Показатели по</w:t>
      </w:r>
      <w:r>
        <w:rPr>
          <w:rFonts w:ascii="Times New Roman" w:hAnsi="Times New Roman" w:cs="Times New Roman"/>
          <w:lang w:val="ru-RU"/>
        </w:rPr>
        <w:t xml:space="preserve"> критерию 20 рассчитываются в соответствии со средней оценкой (при проведении опроса по 10-бальной шкале) </w:t>
      </w:r>
    </w:p>
    <w:p w:rsidR="001C0ABD" w:rsidRDefault="00277FA0">
      <w:pPr>
        <w:spacing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Показатели по критерию 21 рассчитываются как соотношение общей площади МКД, находящихся в управлении признанных в установленном порядке аварийными к </w:t>
      </w:r>
      <w:r>
        <w:rPr>
          <w:rFonts w:ascii="Times New Roman" w:hAnsi="Times New Roman" w:cs="Times New Roman"/>
          <w:lang w:val="ru-RU"/>
        </w:rPr>
        <w:t xml:space="preserve">суммарной общей площади МКД, находящихся в управлении </w:t>
      </w:r>
    </w:p>
    <w:sectPr w:rsidR="001C0ABD">
      <w:headerReference w:type="default" r:id="rId14"/>
      <w:pgSz w:w="16840" w:h="11920" w:orient="landscape"/>
      <w:pgMar w:top="1559" w:right="1418" w:bottom="1276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FA0" w:rsidRDefault="00277FA0">
      <w:pPr>
        <w:spacing w:after="0" w:line="240" w:lineRule="auto"/>
      </w:pPr>
      <w:r>
        <w:separator/>
      </w:r>
    </w:p>
  </w:endnote>
  <w:endnote w:type="continuationSeparator" w:id="0">
    <w:p w:rsidR="00277FA0" w:rsidRDefault="00277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FA0" w:rsidRDefault="00277FA0">
      <w:pPr>
        <w:spacing w:after="0" w:line="240" w:lineRule="auto"/>
      </w:pPr>
      <w:r>
        <w:separator/>
      </w:r>
    </w:p>
  </w:footnote>
  <w:footnote w:type="continuationSeparator" w:id="0">
    <w:p w:rsidR="00277FA0" w:rsidRDefault="00277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7444310"/>
      <w:docPartObj>
        <w:docPartGallery w:val="Page Numbers (Top of Page)"/>
        <w:docPartUnique/>
      </w:docPartObj>
    </w:sdtPr>
    <w:sdtEndPr/>
    <w:sdtContent>
      <w:p w:rsidR="001C0ABD" w:rsidRDefault="00277FA0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19B">
          <w:rPr>
            <w:noProof/>
          </w:rPr>
          <w:t>3</w:t>
        </w:r>
        <w:r>
          <w:fldChar w:fldCharType="end"/>
        </w:r>
      </w:p>
    </w:sdtContent>
  </w:sdt>
  <w:p w:rsidR="001C0ABD" w:rsidRDefault="001C0ABD">
    <w:pPr>
      <w:pStyle w:val="af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8358903"/>
      <w:docPartObj>
        <w:docPartGallery w:val="Page Numbers (Top of Page)"/>
        <w:docPartUnique/>
      </w:docPartObj>
    </w:sdtPr>
    <w:sdtEndPr/>
    <w:sdtContent>
      <w:p w:rsidR="001C0ABD" w:rsidRDefault="00277FA0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19B" w:rsidRPr="0092119B">
          <w:rPr>
            <w:noProof/>
            <w:lang w:val="ru-RU"/>
          </w:rPr>
          <w:t>11</w:t>
        </w:r>
        <w:r>
          <w:fldChar w:fldCharType="end"/>
        </w:r>
      </w:p>
    </w:sdtContent>
  </w:sdt>
  <w:p w:rsidR="001C0ABD" w:rsidRDefault="001C0ABD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B311D"/>
    <w:multiLevelType w:val="multilevel"/>
    <w:tmpl w:val="94FCF57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EE7599D"/>
    <w:multiLevelType w:val="hybridMultilevel"/>
    <w:tmpl w:val="66D8D338"/>
    <w:lvl w:ilvl="0" w:tplc="9B2EC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9E062C">
      <w:start w:val="1"/>
      <w:numFmt w:val="lowerLetter"/>
      <w:lvlText w:val="%2."/>
      <w:lvlJc w:val="left"/>
      <w:pPr>
        <w:ind w:left="1440" w:hanging="360"/>
      </w:pPr>
    </w:lvl>
    <w:lvl w:ilvl="2" w:tplc="3CF4CA8A">
      <w:start w:val="1"/>
      <w:numFmt w:val="lowerRoman"/>
      <w:lvlText w:val="%3."/>
      <w:lvlJc w:val="right"/>
      <w:pPr>
        <w:ind w:left="2160" w:hanging="180"/>
      </w:pPr>
    </w:lvl>
    <w:lvl w:ilvl="3" w:tplc="964AF87E">
      <w:start w:val="1"/>
      <w:numFmt w:val="decimal"/>
      <w:lvlText w:val="%4."/>
      <w:lvlJc w:val="left"/>
      <w:pPr>
        <w:ind w:left="2880" w:hanging="360"/>
      </w:pPr>
    </w:lvl>
    <w:lvl w:ilvl="4" w:tplc="94C25CCC">
      <w:start w:val="1"/>
      <w:numFmt w:val="lowerLetter"/>
      <w:lvlText w:val="%5."/>
      <w:lvlJc w:val="left"/>
      <w:pPr>
        <w:ind w:left="3600" w:hanging="360"/>
      </w:pPr>
    </w:lvl>
    <w:lvl w:ilvl="5" w:tplc="7020FE10">
      <w:start w:val="1"/>
      <w:numFmt w:val="lowerRoman"/>
      <w:lvlText w:val="%6."/>
      <w:lvlJc w:val="right"/>
      <w:pPr>
        <w:ind w:left="4320" w:hanging="180"/>
      </w:pPr>
    </w:lvl>
    <w:lvl w:ilvl="6" w:tplc="3742613C">
      <w:start w:val="1"/>
      <w:numFmt w:val="decimal"/>
      <w:lvlText w:val="%7."/>
      <w:lvlJc w:val="left"/>
      <w:pPr>
        <w:ind w:left="5040" w:hanging="360"/>
      </w:pPr>
    </w:lvl>
    <w:lvl w:ilvl="7" w:tplc="AA9EE3CA">
      <w:start w:val="1"/>
      <w:numFmt w:val="lowerLetter"/>
      <w:lvlText w:val="%8."/>
      <w:lvlJc w:val="left"/>
      <w:pPr>
        <w:ind w:left="5760" w:hanging="360"/>
      </w:pPr>
    </w:lvl>
    <w:lvl w:ilvl="8" w:tplc="739C8B9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2453F"/>
    <w:multiLevelType w:val="hybridMultilevel"/>
    <w:tmpl w:val="9E6E8758"/>
    <w:lvl w:ilvl="0" w:tplc="B0448F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21EF4B4">
      <w:start w:val="1"/>
      <w:numFmt w:val="lowerLetter"/>
      <w:lvlText w:val="%2."/>
      <w:lvlJc w:val="left"/>
      <w:pPr>
        <w:ind w:left="1800" w:hanging="360"/>
      </w:pPr>
    </w:lvl>
    <w:lvl w:ilvl="2" w:tplc="69181E96">
      <w:start w:val="1"/>
      <w:numFmt w:val="lowerRoman"/>
      <w:lvlText w:val="%3."/>
      <w:lvlJc w:val="right"/>
      <w:pPr>
        <w:ind w:left="2520" w:hanging="180"/>
      </w:pPr>
    </w:lvl>
    <w:lvl w:ilvl="3" w:tplc="D5406FF0">
      <w:start w:val="1"/>
      <w:numFmt w:val="decimal"/>
      <w:lvlText w:val="%4."/>
      <w:lvlJc w:val="left"/>
      <w:pPr>
        <w:ind w:left="3240" w:hanging="360"/>
      </w:pPr>
    </w:lvl>
    <w:lvl w:ilvl="4" w:tplc="CF4C47D2">
      <w:start w:val="1"/>
      <w:numFmt w:val="lowerLetter"/>
      <w:lvlText w:val="%5."/>
      <w:lvlJc w:val="left"/>
      <w:pPr>
        <w:ind w:left="3960" w:hanging="360"/>
      </w:pPr>
    </w:lvl>
    <w:lvl w:ilvl="5" w:tplc="C466FB5C">
      <w:start w:val="1"/>
      <w:numFmt w:val="lowerRoman"/>
      <w:lvlText w:val="%6."/>
      <w:lvlJc w:val="right"/>
      <w:pPr>
        <w:ind w:left="4680" w:hanging="180"/>
      </w:pPr>
    </w:lvl>
    <w:lvl w:ilvl="6" w:tplc="A7EC9D70">
      <w:start w:val="1"/>
      <w:numFmt w:val="decimal"/>
      <w:lvlText w:val="%7."/>
      <w:lvlJc w:val="left"/>
      <w:pPr>
        <w:ind w:left="5400" w:hanging="360"/>
      </w:pPr>
    </w:lvl>
    <w:lvl w:ilvl="7" w:tplc="4A76F010">
      <w:start w:val="1"/>
      <w:numFmt w:val="lowerLetter"/>
      <w:lvlText w:val="%8."/>
      <w:lvlJc w:val="left"/>
      <w:pPr>
        <w:ind w:left="6120" w:hanging="360"/>
      </w:pPr>
    </w:lvl>
    <w:lvl w:ilvl="8" w:tplc="259EA99E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885579"/>
    <w:multiLevelType w:val="multilevel"/>
    <w:tmpl w:val="C338F7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BD"/>
    <w:rsid w:val="001C0ABD"/>
    <w:rsid w:val="00277FA0"/>
    <w:rsid w:val="0092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93710B-0181-4BA3-BE01-7B69A7E4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widowControl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9">
    <w:name w:val="Название объекта Знак"/>
    <w:link w:val="aa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Times New Roman" w:hAnsi="Courier New" w:cs="Courier New"/>
      <w:sz w:val="28"/>
      <w:szCs w:val="28"/>
      <w:lang w:val="ru-RU" w:eastAsia="ru-RU"/>
    </w:r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Body Text"/>
    <w:basedOn w:val="a"/>
    <w:link w:val="af7"/>
    <w:uiPriority w:val="99"/>
    <w:unhideWhenUsed/>
    <w:pPr>
      <w:widowControl/>
      <w:spacing w:after="120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7">
    <w:name w:val="Основной текст Знак"/>
    <w:basedOn w:val="a0"/>
    <w:link w:val="af6"/>
    <w:uiPriority w:val="99"/>
    <w:rPr>
      <w:rFonts w:ascii="Times New Roman" w:eastAsia="Calibri" w:hAnsi="Times New Roman" w:cs="Times New Roman"/>
      <w:sz w:val="20"/>
      <w:szCs w:val="20"/>
    </w:rPr>
  </w:style>
  <w:style w:type="paragraph" w:styleId="af8">
    <w:name w:val="Block Text"/>
    <w:basedOn w:val="a"/>
    <w:unhideWhenUsed/>
    <w:pPr>
      <w:widowControl/>
      <w:spacing w:after="0" w:line="240" w:lineRule="auto"/>
      <w:ind w:left="851" w:right="848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character" w:customStyle="1" w:styleId="afa">
    <w:name w:val="Основной текст_"/>
    <w:basedOn w:val="a0"/>
    <w:link w:val="1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a"/>
    <w:pPr>
      <w:widowControl/>
      <w:shd w:val="clear" w:color="auto" w:fill="FFFFFF"/>
      <w:spacing w:before="480" w:after="240" w:line="293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styleId="afb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a">
    <w:name w:val="caption"/>
    <w:basedOn w:val="a"/>
    <w:next w:val="a"/>
    <w:link w:val="a9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val="ru-RU"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fieldlabel">
    <w:name w:val="fieldlabel"/>
    <w:basedOn w:val="a0"/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</w:style>
  <w:style w:type="paragraph" w:styleId="aff1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720D6-5CC2-41CF-BAAE-A455BB57E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2236</Words>
  <Characters>12748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 Владимир Владимирович</dc:creator>
  <cp:lastModifiedBy>Косова Лариса Викторовна</cp:lastModifiedBy>
  <cp:revision>2</cp:revision>
  <dcterms:created xsi:type="dcterms:W3CDTF">2026-06-15T10:32:00Z</dcterms:created>
  <dcterms:modified xsi:type="dcterms:W3CDTF">2026-06-15T10:32:00Z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2018-11-12T00:00:00Z</vt:filetime>
  </property>
  <property fmtid="{D5CDD505-2E9C-101B-9397-08002B2CF9AE}" pid="3" name="LastSaved">
    <vt:filetime>2019-04-03T00:00:00Z</vt:filetime>
  </property>
</Properties>
</file>